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5F6F514" w14:textId="77777777">
      <w:pPr>
        <w:jc w:val="both"/>
      </w:pPr>
    </w:p>
    <w:p w14:paraId="3120BAF6" w14:textId="00BA9758">
      <w:pPr>
        <w:spacing w:line="240" w:lineRule="auto"/>
        <w:jc w:val="center"/>
        <w:rPr>
          <w:rFonts w:ascii="Poppins" w:hAnsi="Poppins" w:cs="Poppins"/>
          <w:b/>
          <w:bCs/>
          <w:color w:val="ff7233"/>
          <w:sz w:val="32"/>
          <w:szCs w:val="32"/>
        </w:rPr>
      </w:pP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>Trust, Transparency, and AI</w:t>
      </w: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/>
      </w: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/>
      </w:r>
    </w:p>
    <w:p w14:paraId="5EBFAE85" w14:textId="04687629">
      <w:pPr>
        <w:spacing w:line="240" w:lineRule="auto"/>
        <w:jc w:val="center"/>
        <w:rPr>
          <w:rFonts w:ascii="Poppins" w:hAnsi="Poppins" w:cs="Poppins"/>
          <w:b/>
          <w:bCs/>
          <w:color w:val="ff7233"/>
          <w:sz w:val="32"/>
          <w:szCs w:val="32"/>
        </w:rPr>
      </w:pP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>Session takeaways</w:t>
      </w:r>
    </w:p>
    <w:p w14:paraId="5B8DD309" w14:textId="77777777">
      <w:pPr>
        <w:jc w:val="center"/>
        <w:rPr>
          <w:rFonts w:ascii="Poppins" w:hAnsi="Poppins" w:cs="Poppins"/>
          <w:sz w:val="32"/>
          <w:szCs w:val="32"/>
        </w:rPr>
        <w:spacing w:line="120" w:lineRule="exact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Give AI a clear task you can check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Include five parts: task, rules, source information, limits, and answer format. Require quotes and paragraph labels so you can check the evidence.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Choose a narrow task, such as listing required documents. “Find our best applicants” leaves too much for the tool to guess.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Treat application text as evidence, not instructions. Ignore embedded commands, mark gaps, and prohibit invented facts or award recommendations.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Check the draft before using it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Compare every claim with the application. Look for invented quotes, omissions, unsupported conclusions, and instructions the tool should have ignored.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In fictional C-101: P2 gives a goal, P3 a service example, P4 lacks an enrollment document, and P5 contains an instruction to ignore. Missing evidence needs follow-up.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Keep the draft, corrections, and reviewer’s reasoning. A named person checks the evidence and decides. Fluent writing does not establish accuracy.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Make the scoring guide clearer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Use observable criteria and examples for each score. Rate independently before viewing an AI suggestion; then compare evidence with a partner.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Use “insufficient evidence” when sources are missing or contradictory. Do not infer merit, honesty, or personal traits from writing style.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Discuss disagreements and clarify the guide; do not simply average ratings. Record the first rating, suggested change, final human rating, and reason.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p w14:paraId="65F6F514" w14:textId="77777777">
      <w:pPr>
        <w:jc w:val="both"/>
        <w:pageBreakBefore/>
      </w:pPr>
    </w:p>
    <w:p w14:paraId="3120BAF6" w14:textId="00BA9758">
      <w:pPr>
        <w:spacing w:line="240" w:lineRule="auto"/>
        <w:jc w:val="center"/>
        <w:rPr>
          <w:rFonts w:ascii="Poppins" w:hAnsi="Poppins" w:cs="Poppins"/>
          <w:b/>
          <w:bCs/>
          <w:color w:val="ff7233"/>
          <w:sz w:val="32"/>
          <w:szCs w:val="32"/>
        </w:rPr>
      </w:pP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>Trust, Transparency, and AI</w:t>
      </w: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/>
      </w: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/>
      </w:r>
    </w:p>
    <w:p w14:paraId="5EBFAE85" w14:textId="04687629">
      <w:pPr>
        <w:spacing w:line="240" w:lineRule="auto"/>
        <w:jc w:val="center"/>
        <w:rPr>
          <w:rFonts w:ascii="Poppins" w:hAnsi="Poppins" w:cs="Poppins"/>
          <w:b/>
          <w:bCs/>
          <w:color w:val="ff7233"/>
          <w:sz w:val="32"/>
          <w:szCs w:val="32"/>
        </w:rPr>
      </w:pPr>
      <w:r>
        <w:rPr>
          <w:rFonts w:ascii="Poppins" w:hAnsi="Poppins" w:cs="Poppins"/>
          <w:b/>
          <w:bCs/>
          <w:color w:val="ff7233"/>
          <w:sz w:val="32"/>
          <w:szCs w:val="32"/>
        </w:rPr>
        <w:t xml:space="preserve">Session takeaways continued</w:t>
      </w:r>
    </w:p>
    <w:p w14:paraId="5B8DD309" w14:textId="77777777">
      <w:pPr>
        <w:jc w:val="center"/>
        <w:rPr>
          <w:rFonts w:ascii="Poppins" w:hAnsi="Poppins" w:cs="Poppins"/>
          <w:sz w:val="32"/>
          <w:szCs w:val="32"/>
        </w:rPr>
        <w:spacing w:line="120" w:lineRule="exact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Protect information throughout the workflow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Practice with fictional applications. Before using real data, confirm the approved tool, permitted information, access, retention, and responsible reviewer.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Map approved input → AI draft → evidence check → human decision → record. Add pause points where information or decisions could be mishandled.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Remove information the task does not need. Deleting a name alone does not guarantee that an application cannot identify someone.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Respond fairly to applicant AI use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A detector flag is not proof of misconduct, and its score is not the probability someone cheated. Errors vary by tool, language, population, and test conditions.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Publish rules in advance: allowed editing, translation, and brainstorming; when to disclose help; and prohibitions on invented experiences and false records.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Name the rule and evidence. Invite an explanation without assuming wrongdoing. Offer an accessible response route, human review, and an appeal.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p w14:paraId="2D273A09" w14:textId="77777777">
      <w:pPr>
        <w:pStyle w:val="ListParagraph"/>
        <w:numPr>
          <w:ilvl w:val="0"/>
          <w:numId w:val="1"/>
        </w:numPr>
        <w:spacing w:line="276" w:lineRule="auto"/>
        <w:rPr>
          <w:rFonts w:ascii="Poppins" w:hAnsi="Poppins" w:cs="Poppins"/>
          <w:b/>
          <w:bCs/>
          <w:color w:val="2e4f66"/>
        </w:rPr>
        <w:keepNext/>
      </w:pPr>
      <w:r>
        <w:rPr>
          <w:rFonts w:ascii="Poppins" w:hAnsi="Poppins" w:cs="Poppins"/>
          <w:b/>
          <w:bCs/>
          <w:color w:val="2e4f66"/>
        </w:rPr>
        <w:t xml:space="preserve">Choose one next step for the next 30 days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Mark capacities Ready to learn, In progress, or Ready to go. Pick one task, owner, date, evidence of progress, and stop condition.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Week 1: agree on checks. Week 2: test fictional cases. Weeks 3–4: review errors, omissions, disagreement, and checking time; adjust, stop, or seek approval.</w:t>
      </w:r>
    </w:p>
    <w:p w14:paraId="493E1B5C" w14:textId="186403FE">
      <w:pPr>
        <w:pStyle w:val="ListParagraph"/>
        <w:numPr>
          <w:ilvl w:val="1"/>
          <w:numId w:val="1"/>
        </w:numPr>
        <w:spacing w:line="276" w:lineRule="auto"/>
        <w:rPr>
          <w:rFonts w:ascii="Poppins" w:hAnsi="Poppins" w:cs="Poppins"/>
          <w:color w:val="2e4f66"/>
        </w:rPr>
      </w:pPr>
      <w:r>
        <w:rPr>
          <w:rFonts w:ascii="Poppins" w:hAnsi="Poppins" w:cs="Poppins"/>
          <w:color w:val="2e4f66"/>
        </w:rPr>
        <w:t xml:space="preserve">Keep your prompt, workflow, and policy drafts. These are teaching tools, not official NSPA policy. Miguel Guhlin • October 21, 2026 • mguhlin.github.io/nspa/2026/</w:t>
      </w:r>
    </w:p>
    <w:p w14:paraId="5EEC018A" w14:textId="77777777">
      <w:pPr>
        <w:rPr>
          <w:rFonts w:ascii="Poppins" w:hAnsi="Poppins" w:cs="Poppins"/>
          <w:color w:val="2e4f66"/>
        </w:rPr>
        <w:spacing w:line="120" w:lineRule="exact" w:after="0" w:before="0"/>
      </w:pPr>
    </w:p>
    <w:sectPr>
      <w:headerReference w:type="default" r:id="rId9"/>
      <w:pgSz w:h="15840" w:w="122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086AF7D" w14:textId="77777777">
      <w:pPr>
        <w:spacing w:after="0" w:line="240" w:lineRule="auto"/>
      </w:pPr>
      <w:r>
        <w:separator/>
      </w:r>
    </w:p>
  </w:endnote>
  <w:endnote w:type="continuationSeparator" w:id="0">
    <w:p w14:paraId="3FBF8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oppins">
    <w:panose1 w:val="05040102010807070707"/>
  </w:font>
  <w:font w:name="Noto Sans Symbols">
    <w:panose1 w:val="020B0502040504020204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6FBBEFF" w14:textId="77777777">
      <w:pPr>
        <w:spacing w:after="0" w:line="240" w:lineRule="auto"/>
      </w:pPr>
      <w:r>
        <w:separator/>
      </w:r>
    </w:p>
  </w:footnote>
  <w:footnote w:type="continuationSeparator" w:id="0">
    <w:p w14:paraId="759AD2D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2DD0E99" w14:textId="3C280A4E">
    <w:pPr>
      <w:pStyle w:val="Head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-457200</wp:posOffset>
              </wp:positionV>
              <wp:extent cx="7772400" cy="10061962"/>
              <wp:effectExtent l="0" t="0" r="0" b="0"/>
              <wp:wrapNone/>
              <wp:docPr id="1" name="Picture 2" descr="A white paper with blue text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6066805" name="Picture 2" descr="A white paper with blue text&#10;&#10;AI-generated content may be incorrect."/>
                      <pic:cNvPicPr/>
                      <pic:nv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100619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margin;mso-position-horizontal:center;mso-position-vertical-relative:text;margin-top:-36.00pt;mso-position-vertical:absolute;width:612.00pt;height:792.28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</w:p>
  <w:p w14:paraId="6BDCC648" w14:textId="77777777">
    <w:pPr>
      <w:pStyle w:val="Header"/>
    </w:pPr>
  </w:p>
  <w:p w14:paraId="6323B476" w14:textId="77777777">
    <w:pPr>
      <w:pStyle w:val="Header"/>
    </w:pPr>
  </w:p>
  <w:p w14:paraId="7DC2FD42" w14:textId="77777777">
    <w:pPr>
      <w:pStyle w:val="Header"/>
    </w:pPr>
  </w:p>
  <w:p w14:paraId="4B9A4C6D" w14:textId="77777777">
    <w:pPr>
      <w:pStyle w:val="Header"/>
    </w:pPr>
  </w:p>
  <w:p w14:paraId="0716A6E4" w14:textId="4BB077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27AF3098"/>
    <w:lvl w:ilvl="0">
      <w:lvlJc w:val="left"/>
      <w:lvlText w:val="%1."/>
      <w:numFmt w:val="decimal"/>
      <w:pPr>
        <w:ind w:hanging="360" w:left="360"/>
      </w:pPr>
      <w:start w:val="1"/>
    </w:lvl>
    <w:lvl w:ilvl="1">
      <w:lvlJc w:val="left"/>
      <w:lvlText w:val="o"/>
      <w:numFmt w:val="bullet"/>
      <w:pPr>
        <w:ind w:hanging="360" w:left="1080"/>
      </w:pPr>
      <w:rPr>
        <w:rFonts w:ascii="Courier New" w:hAnsi="Courier New" w:eastAsia="Courier New" w:cs="Courier New"/>
      </w:rPr>
      <w:start w:val="1"/>
    </w:lvl>
    <w:lvl w:ilvl="2">
      <w:lvlJc w:val="left"/>
      <w:lvlText w:val="▪"/>
      <w:numFmt w:val="bullet"/>
      <w:pPr>
        <w:ind w:hanging="360" w:left="1800"/>
      </w:pPr>
      <w:rPr>
        <w:rFonts w:ascii="Noto Sans Symbols" w:hAnsi="Noto Sans Symbols" w:eastAsia="Noto Sans Symbols" w:cs="Noto Sans Symbols"/>
      </w:rPr>
      <w:start w:val="1"/>
    </w:lvl>
    <w:lvl w:ilvl="3">
      <w:lvlJc w:val="left"/>
      <w:lvlText w:val="●"/>
      <w:numFmt w:val="bullet"/>
      <w:pPr>
        <w:ind w:hanging="360" w:left="2520"/>
      </w:pPr>
      <w:rPr>
        <w:rFonts w:ascii="Noto Sans Symbols" w:hAnsi="Noto Sans Symbols" w:eastAsia="Noto Sans Symbols" w:cs="Noto Sans Symbols"/>
      </w:rPr>
      <w:start w:val="1"/>
    </w:lvl>
    <w:lvl w:ilvl="4">
      <w:lvlJc w:val="left"/>
      <w:lvlText w:val="o"/>
      <w:numFmt w:val="bullet"/>
      <w:pPr>
        <w:ind w:hanging="360" w:left="3240"/>
      </w:pPr>
      <w:rPr>
        <w:rFonts w:ascii="Courier New" w:hAnsi="Courier New" w:eastAsia="Courier New" w:cs="Courier New"/>
      </w:rPr>
      <w:start w:val="1"/>
    </w:lvl>
    <w:lvl w:ilvl="5">
      <w:lvlJc w:val="left"/>
      <w:lvlText w:val="▪"/>
      <w:numFmt w:val="bullet"/>
      <w:pPr>
        <w:ind w:hanging="360" w:left="3960"/>
      </w:pPr>
      <w:rPr>
        <w:rFonts w:ascii="Noto Sans Symbols" w:hAnsi="Noto Sans Symbols" w:eastAsia="Noto Sans Symbols" w:cs="Noto Sans Symbols"/>
      </w:rPr>
      <w:start w:val="1"/>
    </w:lvl>
    <w:lvl w:ilvl="6">
      <w:lvlJc w:val="left"/>
      <w:lvlText w:val="●"/>
      <w:numFmt w:val="bullet"/>
      <w:pPr>
        <w:ind w:hanging="360" w:left="4680"/>
      </w:pPr>
      <w:rPr>
        <w:rFonts w:ascii="Noto Sans Symbols" w:hAnsi="Noto Sans Symbols" w:eastAsia="Noto Sans Symbols" w:cs="Noto Sans Symbols"/>
      </w:rPr>
      <w:start w:val="1"/>
    </w:lvl>
    <w:lvl w:ilvl="7">
      <w:lvlJc w:val="left"/>
      <w:lvlText w:val="o"/>
      <w:numFmt w:val="bullet"/>
      <w:pPr>
        <w:ind w:hanging="360" w:left="5400"/>
      </w:pPr>
      <w:rPr>
        <w:rFonts w:ascii="Courier New" w:hAnsi="Courier New" w:eastAsia="Courier New" w:cs="Courier New"/>
      </w:rPr>
      <w:start w:val="1"/>
    </w:lvl>
    <w:lvl w:ilvl="8">
      <w:lvlJc w:val="left"/>
      <w:lvlText w:val="▪"/>
      <w:numFmt w:val="bullet"/>
      <w:pPr>
        <w:ind w:hanging="360" w:left="6120"/>
      </w:pPr>
      <w:rPr>
        <w:rFonts w:ascii="Noto Sans Symbols" w:hAnsi="Noto Sans Symbols" w:eastAsia="Noto Sans Symbols" w:cs="Noto Sans Symbols"/>
      </w:rPr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 w:val="true"/>
      <w:spacing w:after="80" w:before="36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 w:val="true"/>
      <w:keepLines w:val="true"/>
      <w:spacing w:after="80" w:before="16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 w:val="true"/>
      <w:keepLines w:val="true"/>
      <w:spacing w:after="80"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 w:val="true"/>
      <w:keepLines w:val="true"/>
      <w:spacing w:after="40"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 w:val="true"/>
      <w:keepLines w:val="true"/>
      <w:spacing w:after="40"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 w:val="true"/>
      <w:keepLines w:val="true"/>
      <w:spacing w:after="0"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 w:val="true"/>
      <w:keepLines w:val="true"/>
      <w:spacing w:after="0"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 w:val="true"/>
      <w:keepLines w:val="true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 w:val="true"/>
      <w:keepLines w:val="true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 w:val="true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 w:val="true"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</Words>
  <Characters>159</Characters>
  <CharactersWithSpaces>185</CharactersWithSpaces>
  <Application>ONLYOFFICE/9.4.0.129</Application>
  <DocSecurity>0</DocSecurity>
  <Lines>1</Lines>
  <Paragraphs>1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National Scholarship Providers Association</dc:creator>
  <cp:keywords/>
  <dc:description/>
  <cp:lastModifiedBy>National Scholarship Providers Association</cp:lastModifiedBy>
  <cp:revision>1</cp:revision>
  <dcterms:created xsi:type="dcterms:W3CDTF">2026-07-28T00:59:00Z</dcterms:created>
  <dcterms:modified xsi:type="dcterms:W3CDTF">2026-07-28T01:24:00Z</dcterms:modified>
</cp:coreProperties>
</file>